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48F" w:rsidRDefault="00FA248F" w:rsidP="00FA248F">
      <w:pPr>
        <w:shd w:val="clear" w:color="auto" w:fill="FFFFFF"/>
        <w:spacing w:line="20" w:lineRule="atLeast"/>
        <w:textAlignment w:val="baseline"/>
        <w:rPr>
          <w:b/>
          <w:bCs/>
          <w:color w:val="000000"/>
          <w:sz w:val="28"/>
          <w:szCs w:val="28"/>
        </w:rPr>
      </w:pPr>
      <w:r>
        <w:rPr>
          <w:b/>
          <w:bCs/>
          <w:color w:val="000000"/>
          <w:sz w:val="28"/>
          <w:szCs w:val="28"/>
        </w:rPr>
        <w:t xml:space="preserve">                             HỘI CCB XÃ TÙNG CHÂU</w:t>
      </w:r>
    </w:p>
    <w:p w:rsidR="00FA248F" w:rsidRDefault="00FA248F" w:rsidP="00FA248F">
      <w:pPr>
        <w:shd w:val="clear" w:color="auto" w:fill="FFFFFF"/>
        <w:spacing w:line="20" w:lineRule="atLeast"/>
        <w:jc w:val="center"/>
        <w:textAlignment w:val="baseline"/>
        <w:rPr>
          <w:b/>
          <w:bCs/>
          <w:color w:val="000000"/>
          <w:sz w:val="28"/>
          <w:szCs w:val="28"/>
        </w:rPr>
      </w:pPr>
      <w:r>
        <w:rPr>
          <w:b/>
          <w:bCs/>
          <w:color w:val="000000"/>
          <w:sz w:val="28"/>
          <w:szCs w:val="28"/>
        </w:rPr>
        <w:t>THÔNG TIN TUYÊN TRUYỀN CHÍNH SÁCH PHÁP LUẬT</w:t>
      </w:r>
    </w:p>
    <w:p w:rsidR="00FA248F" w:rsidRDefault="00FA248F" w:rsidP="00FA248F">
      <w:pPr>
        <w:spacing w:line="20" w:lineRule="atLeast"/>
        <w:ind w:firstLine="720"/>
        <w:jc w:val="both"/>
        <w:rPr>
          <w:rStyle w:val="Strong"/>
          <w:color w:val="000000"/>
          <w:sz w:val="28"/>
          <w:szCs w:val="28"/>
          <w:bdr w:val="none" w:sz="0" w:space="0" w:color="auto" w:frame="1"/>
          <w:shd w:val="clear" w:color="auto" w:fill="FFFFFF"/>
        </w:rPr>
      </w:pPr>
      <w:r>
        <w:rPr>
          <w:rStyle w:val="Strong"/>
          <w:color w:val="000000"/>
          <w:sz w:val="28"/>
          <w:szCs w:val="28"/>
          <w:bdr w:val="none" w:sz="0" w:space="0" w:color="auto" w:frame="1"/>
          <w:shd w:val="clear" w:color="auto" w:fill="FFFFFF"/>
        </w:rPr>
        <w:t xml:space="preserve">I. TRÍCH MỘT SỐ ĐIỀU KHOẢN CỦA LUẬT XỬ XẠT VI PHẠM HÀNH CHÍNH </w:t>
      </w:r>
    </w:p>
    <w:p w:rsidR="00FA248F" w:rsidRDefault="00FA248F" w:rsidP="00FA248F">
      <w:pPr>
        <w:shd w:val="clear" w:color="auto" w:fill="FFFFFF"/>
        <w:spacing w:line="20" w:lineRule="atLeast"/>
        <w:ind w:firstLine="720"/>
        <w:jc w:val="both"/>
        <w:rPr>
          <w:color w:val="000000"/>
          <w:sz w:val="28"/>
          <w:szCs w:val="28"/>
        </w:rPr>
      </w:pPr>
      <w:r>
        <w:rPr>
          <w:color w:val="000000"/>
          <w:sz w:val="28"/>
          <w:szCs w:val="28"/>
        </w:rPr>
        <w:t xml:space="preserve">1. </w:t>
      </w:r>
      <w:r>
        <w:rPr>
          <w:b/>
          <w:bCs/>
          <w:color w:val="000000"/>
          <w:sz w:val="28"/>
          <w:szCs w:val="28"/>
        </w:rPr>
        <w:t>Thông tư số 18/2023/TT-BTC Ngày 21 tháng 3 năm 2023, Bộ Tài chính quy định về thủ tục thu, nộp tiền phạt, bù trừ số tiền nộp phạt chênh lệch, biên lai thu tiền phạt và kinh phí từ ngân sách nhà nước bảo đảm hoạt động của các lực lượng xử phạt vi phạm hành chính.</w:t>
      </w:r>
    </w:p>
    <w:p w:rsidR="00FA248F" w:rsidRDefault="00FA248F" w:rsidP="00FA248F">
      <w:pPr>
        <w:shd w:val="clear" w:color="auto" w:fill="FFFFFF"/>
        <w:spacing w:line="20" w:lineRule="atLeast"/>
        <w:ind w:firstLine="720"/>
        <w:rPr>
          <w:b/>
          <w:bCs/>
          <w:color w:val="000000"/>
          <w:sz w:val="28"/>
          <w:szCs w:val="28"/>
        </w:rPr>
      </w:pPr>
      <w:r>
        <w:rPr>
          <w:b/>
          <w:bCs/>
          <w:color w:val="000000"/>
          <w:sz w:val="28"/>
          <w:szCs w:val="28"/>
        </w:rPr>
        <w:t>a.Thu, nộp tiền phạt vi phạm hành chính</w:t>
      </w:r>
    </w:p>
    <w:p w:rsidR="00FA248F" w:rsidRDefault="00FA248F" w:rsidP="00FA248F">
      <w:pPr>
        <w:shd w:val="clear" w:color="auto" w:fill="FFFFFF"/>
        <w:spacing w:line="20" w:lineRule="atLeast"/>
        <w:ind w:firstLine="720"/>
        <w:jc w:val="both"/>
        <w:rPr>
          <w:color w:val="000000"/>
          <w:sz w:val="28"/>
          <w:szCs w:val="28"/>
        </w:rPr>
      </w:pPr>
      <w:r>
        <w:rPr>
          <w:color w:val="000000"/>
          <w:sz w:val="28"/>
          <w:szCs w:val="28"/>
        </w:rPr>
        <w:t xml:space="preserve">Hình thức thu, nộp tiền phạt vi phạm hành chính được thực hiện theo quy định tại khoản 1 Điều 20 Nghị định số 118/2021/NĐ-CP ngày 23 tháng 12 năm 2021 của Chính phủ quy định chi tiết một số điều và biện pháp thi hành Luật Xử lý vi phạm hành chính (sau đây gọi là Nghị định số 118/2021/NĐ-CP). </w:t>
      </w:r>
    </w:p>
    <w:p w:rsidR="00FA248F" w:rsidRDefault="00FA248F" w:rsidP="00FA248F">
      <w:pPr>
        <w:shd w:val="clear" w:color="auto" w:fill="FFFFFF"/>
        <w:spacing w:line="20" w:lineRule="atLeast"/>
        <w:ind w:firstLine="720"/>
        <w:jc w:val="both"/>
        <w:rPr>
          <w:color w:val="000000"/>
          <w:sz w:val="28"/>
          <w:szCs w:val="28"/>
        </w:rPr>
      </w:pPr>
      <w:r>
        <w:rPr>
          <w:color w:val="000000"/>
          <w:sz w:val="28"/>
          <w:szCs w:val="28"/>
        </w:rPr>
        <w:t>Thông tư này hướng dẫn cụ thể một số nội dung như sau:</w:t>
      </w:r>
    </w:p>
    <w:p w:rsidR="00FA248F" w:rsidRDefault="00FA248F" w:rsidP="00FA248F">
      <w:pPr>
        <w:shd w:val="clear" w:color="auto" w:fill="FFFFFF"/>
        <w:spacing w:line="20" w:lineRule="atLeast"/>
        <w:ind w:firstLine="720"/>
        <w:jc w:val="both"/>
        <w:rPr>
          <w:color w:val="000000"/>
          <w:sz w:val="28"/>
          <w:szCs w:val="28"/>
        </w:rPr>
      </w:pPr>
      <w:r>
        <w:rPr>
          <w:color w:val="000000"/>
          <w:sz w:val="28"/>
          <w:szCs w:val="28"/>
        </w:rPr>
        <w:t>Trường hợp nộp tiền phạt bằng tiền mặt trực tiếp, ngày xác định người nộp tiền phạt đã thực hiện nghĩa vụ nộp tiền phạt là ngày Kho bạc Nhà nước hoặc ngân hàng thương mại nơi Kho bạc Nhà nước mở tài khoản hoặc tổ chức cung ứng dịch vụ bưu chính công ích hoặc người có thẩm quyền thu tiền phạt theo quy định tại điểm c khoản 1 Điều 20 Nghị định số 118/2021/NĐ-CP xác nhận trên chứng từ thu, nộp tiền phạt.</w:t>
      </w:r>
    </w:p>
    <w:p w:rsidR="00FA248F" w:rsidRDefault="00FA248F" w:rsidP="00FA248F">
      <w:pPr>
        <w:shd w:val="clear" w:color="auto" w:fill="FFFFFF"/>
        <w:spacing w:line="20" w:lineRule="atLeast"/>
        <w:ind w:firstLine="720"/>
        <w:rPr>
          <w:b/>
          <w:bCs/>
          <w:color w:val="000000"/>
          <w:sz w:val="28"/>
          <w:szCs w:val="28"/>
        </w:rPr>
      </w:pPr>
      <w:r>
        <w:rPr>
          <w:color w:val="000000"/>
          <w:sz w:val="28"/>
          <w:szCs w:val="28"/>
        </w:rPr>
        <w:t>Trường hợp nộp tiền phạt bằng hình thức chuyển khoản, ngày xác định người nộp tiền phạt đã thực hiện nghĩa vụ nộp tiền phạt là ngày người nộp tiền phạt nhận được thông báo giao dịch tiếp nhận khoản tiền nộp phạt thành công từ ngân hàng thương mại, tổ chức cung ứng dịch vụ trung gian thanh toán, tổ chức cung ứng dịch vụ bưu chính công ích để nộp vào ngân sách nhà nước.</w:t>
      </w:r>
      <w:r>
        <w:rPr>
          <w:color w:val="000000"/>
          <w:sz w:val="28"/>
          <w:szCs w:val="28"/>
        </w:rPr>
        <w:br/>
      </w:r>
      <w:r>
        <w:rPr>
          <w:b/>
          <w:bCs/>
          <w:color w:val="000000"/>
          <w:sz w:val="28"/>
          <w:szCs w:val="28"/>
        </w:rPr>
        <w:t xml:space="preserve">         b. Quy trình, thủ tục thu, nộp tiền phạt vi phạm hành chính</w:t>
      </w:r>
    </w:p>
    <w:p w:rsidR="00FA248F" w:rsidRDefault="00FA248F" w:rsidP="00FA248F">
      <w:pPr>
        <w:shd w:val="clear" w:color="auto" w:fill="FFFFFF"/>
        <w:spacing w:line="20" w:lineRule="atLeast"/>
        <w:ind w:firstLine="720"/>
        <w:rPr>
          <w:color w:val="000000"/>
          <w:sz w:val="28"/>
          <w:szCs w:val="28"/>
        </w:rPr>
      </w:pPr>
      <w:r>
        <w:rPr>
          <w:color w:val="000000"/>
          <w:sz w:val="28"/>
          <w:szCs w:val="28"/>
        </w:rPr>
        <w:t>Quy trình, thủ tục thu, nộp tiền phạt vi phạm hành chính được thực hiện theo quy trình thu ngân sách nhà nước quy định tại Nghị định số 11/2020/NĐ-CP ngày 20 tháng 01 năm 2020 của Chính phủ quy định về thủ tục hành chính thuộc lĩnh vực Kho bạc Nhà nước (sau đây gọi là Nghị định số 11/2020/NĐ-CP) và Thông tư số 328/2016/TT-BTC. Thông tư này hướng dẫn cụ thể các nội dung sau:</w:t>
      </w:r>
      <w:r>
        <w:rPr>
          <w:color w:val="000000"/>
          <w:sz w:val="28"/>
          <w:szCs w:val="28"/>
        </w:rPr>
        <w:br/>
        <w:t xml:space="preserve">           Việc thu tiền phạt vi phạm hành chính phải căn cứ vào quyết định xử phạt vi phạm hành chính của người có thẩm quyền xử phạt theo quy định tại Luật Xử lý vi phạm hành chính và các Nghị định của Chính phủ quy định về xử phạt vi phạm hành chính trong từng lĩnh vực.</w:t>
      </w:r>
    </w:p>
    <w:p w:rsidR="00FA248F" w:rsidRDefault="00FA248F" w:rsidP="00FA248F">
      <w:pPr>
        <w:shd w:val="clear" w:color="auto" w:fill="FFFFFF"/>
        <w:spacing w:line="20" w:lineRule="atLeast"/>
        <w:ind w:firstLine="720"/>
        <w:jc w:val="both"/>
        <w:rPr>
          <w:color w:val="000000"/>
          <w:sz w:val="28"/>
          <w:szCs w:val="28"/>
        </w:rPr>
      </w:pPr>
      <w:r>
        <w:rPr>
          <w:color w:val="000000"/>
          <w:sz w:val="28"/>
          <w:szCs w:val="28"/>
        </w:rPr>
        <w:t xml:space="preserve">Khi nộp tiền phạt trực tiếp tại Kho bạc Nhà nước hoặc ngân hàng thương mại nơi Kho bạc Nhà nước mở tài khoản hoặc tổ chức cung ứng dịch vụ bưu chính công ích thì cá nhân, tổ chức bị xử phạt phải xuất trình quyết định xử phạt của người có thẩm quyền xử phạt với Kho bạc Nhà nước nơi đến nộp phạt hoặc ngân hàng thương mại nơi Kho bạc Nhà nước mở tài khoản hoặc tổ chức cung ứng dịch vụ bưu chính công ích và phải nộp tiền phạt theo đúng số tiền, thời hạn ghi trong quyết định xử phạt. Trường hợp nộp tiền phạt bằng hình thức chuyển khoản thì cá nhân, tổ chức bị xử phạt phải căn cứ vào quyết định xử phạt để nộp tiền phạt theo đúng số tiền, thời hạn ghi trong quyết định xử phạt. Thông tin chuyển khoản phải bao gồm nội dung nộp phạt vi phạm hành chính, số quyết định </w:t>
      </w:r>
      <w:r>
        <w:rPr>
          <w:color w:val="000000"/>
          <w:sz w:val="28"/>
          <w:szCs w:val="28"/>
        </w:rPr>
        <w:lastRenderedPageBreak/>
        <w:t>xử phạt, ngày ra quyết định xử phạt, tên cơ quan của người có thẩm quyền ra quyết định xử phạt.</w:t>
      </w:r>
    </w:p>
    <w:p w:rsidR="00FA248F" w:rsidRDefault="00FA248F" w:rsidP="00FA248F">
      <w:pPr>
        <w:shd w:val="clear" w:color="auto" w:fill="FFFFFF"/>
        <w:spacing w:line="20" w:lineRule="atLeast"/>
        <w:ind w:firstLine="720"/>
        <w:jc w:val="both"/>
        <w:rPr>
          <w:color w:val="000000"/>
          <w:sz w:val="28"/>
          <w:szCs w:val="28"/>
        </w:rPr>
      </w:pPr>
      <w:r>
        <w:rPr>
          <w:color w:val="000000"/>
          <w:sz w:val="28"/>
          <w:szCs w:val="28"/>
        </w:rPr>
        <w:t>Người có thẩm quyền thu tiền phạt trực tiếp quy định tại điểm c khoản 1 Điều 20 Nghị định số 118/2021/NĐ-CP phải lập Bảng kê thu tiền phạt theo Mẫu số 02/BKTP ban hành kèm theo Thông tư số 328/2016/TT-BTC và nộp toàn bộ số tiền đã thu vào Kho bạc Nhà nước theo thời gian quy định tại khoản 2 Điều 69, khoản 1 Điều 78 Luật Xử lý vi phạm hành chính. Cảng vụ hoặc đại diện cảng vụ hàng không khi thực hiện thu tiền phạt theo điểm c khoản 1 Điều 20 Nghị định số 118/2021/NĐ-CP phải nộp toàn bộ số tiền đã thu vào Kho bạc Nhà nước trong thời hạn 2 ngày làm việc, kể từ ngày thu tiền phạt. Kho bạc Nhà nước rà soát, đối chiếu để đảm bảo khớp đúng giữa tổng số tiền thực nộp của người có thẩm quyền thu tiền phạt trực tiếp với tổng số tiền tính theo Bảng kê thu tiền phạt.</w:t>
      </w:r>
    </w:p>
    <w:p w:rsidR="00FA248F" w:rsidRDefault="00FA248F" w:rsidP="00FA248F">
      <w:pPr>
        <w:shd w:val="clear" w:color="auto" w:fill="FFFFFF"/>
        <w:spacing w:line="20" w:lineRule="atLeast"/>
        <w:ind w:firstLine="720"/>
        <w:jc w:val="both"/>
        <w:rPr>
          <w:color w:val="000000"/>
          <w:sz w:val="28"/>
          <w:szCs w:val="28"/>
        </w:rPr>
      </w:pPr>
      <w:r>
        <w:rPr>
          <w:color w:val="000000"/>
          <w:sz w:val="28"/>
          <w:szCs w:val="28"/>
        </w:rPr>
        <w:t>Khi nộp tiền phạt theo quy định tại điểm c Khoản 2 Điều 20 Nghị định số 118/2021/NĐ-CP, chứng từ thu, nộp tiền phạt phải thể hiện rõ nội dung nộp phạt vi phạm hành chính, số quyết định xử phạt, ngày ra quyết định xử phạt, tên cơ quan của người có thẩm quyền ra quyết định xử phạt. Sau khi nộp phạt, cá nhân, tổ chức bị xử phạt xuất trình hoặc gửi chứng từ thu, nộp tiền phạt cho người có thẩm quyền xử phạt để nhận lại các giấy tờ tạm giữ theo quy định tại điểm c Khoản 2 Điều 20 Nghị định số 118/2021/NĐ-CP.</w:t>
      </w:r>
    </w:p>
    <w:p w:rsidR="00FA248F" w:rsidRDefault="00FA248F" w:rsidP="00FA248F">
      <w:pPr>
        <w:shd w:val="clear" w:color="auto" w:fill="FFFFFF"/>
        <w:spacing w:line="20" w:lineRule="atLeast"/>
        <w:ind w:firstLine="720"/>
        <w:jc w:val="both"/>
        <w:rPr>
          <w:color w:val="000000"/>
          <w:sz w:val="28"/>
          <w:szCs w:val="28"/>
        </w:rPr>
      </w:pPr>
      <w:r>
        <w:rPr>
          <w:color w:val="000000"/>
          <w:sz w:val="28"/>
          <w:szCs w:val="28"/>
        </w:rPr>
        <w:t>Tiền thu phạt vi phạm hành chính được hạch toán vào Chương của cơ quan của người có thẩm quyền ra quyết định xử phạt, Tiểu mục tương ứng theo quy định của Mục lục ngân sách nhà nước. Đối với lĩnh vực thuế, hải quan thực hiện theo Chương của người vi phạm (người nộp thuế), Tiểu mục tương ứng theo quy định của Mục lục ngân sách nhà nước.</w:t>
      </w:r>
    </w:p>
    <w:p w:rsidR="00FA248F" w:rsidRDefault="00FA248F" w:rsidP="00FA248F">
      <w:pPr>
        <w:shd w:val="clear" w:color="auto" w:fill="FFFFFF"/>
        <w:spacing w:line="20" w:lineRule="atLeast"/>
        <w:ind w:firstLine="720"/>
        <w:jc w:val="both"/>
        <w:rPr>
          <w:b/>
          <w:bCs/>
          <w:color w:val="000000"/>
          <w:sz w:val="28"/>
          <w:szCs w:val="28"/>
        </w:rPr>
      </w:pPr>
      <w:r>
        <w:rPr>
          <w:b/>
          <w:bCs/>
          <w:color w:val="000000"/>
          <w:sz w:val="28"/>
          <w:szCs w:val="28"/>
        </w:rPr>
        <w:t>c.Thủ tục thu tiền chậm nộp phạt vi phạm hành chính</w:t>
      </w:r>
    </w:p>
    <w:p w:rsidR="00FA248F" w:rsidRDefault="00FA248F" w:rsidP="00FA248F">
      <w:pPr>
        <w:shd w:val="clear" w:color="auto" w:fill="FFFFFF"/>
        <w:spacing w:line="20" w:lineRule="atLeast"/>
        <w:ind w:firstLine="720"/>
        <w:jc w:val="both"/>
        <w:rPr>
          <w:color w:val="000000"/>
          <w:sz w:val="28"/>
          <w:szCs w:val="28"/>
        </w:rPr>
      </w:pPr>
      <w:r>
        <w:rPr>
          <w:color w:val="000000"/>
          <w:sz w:val="28"/>
          <w:szCs w:val="28"/>
        </w:rPr>
        <w:t>Quá thời hạn thi hành quyết định xử phạt vi phạm hành chính quy định tại khoản 2 Điều 68 và khoản 1 Điều 73 Luật Xử lý vi phạm hành chính mà cá nhân, tổ chức chưa nộp tiền phạt thì sẽ bị cưỡng chế thi hành quyết định xử phạt và cứ mỗi ngày chậm nộp phạt, cá nhân, tổ chức vi phạm phải nộp thêm 0,05% trên tổng số tiền phạt chưa nộp. Số ngày chậm nộp tiền phạt bao gồm cả ngày lễ, ngày nghỉ theo chế độ quy định và được tính từ ngày tiếp sau ngày cuối cùng của thời hạn nộp tiền phạt đến trước ngày cá nhân, tổ chức vi phạm hành chính nộp tiền phạt vào ngân sách nhà nước.</w:t>
      </w:r>
    </w:p>
    <w:p w:rsidR="00FA248F" w:rsidRDefault="00FA248F" w:rsidP="00FA248F">
      <w:pPr>
        <w:shd w:val="clear" w:color="auto" w:fill="FFFFFF"/>
        <w:spacing w:line="20" w:lineRule="atLeast"/>
        <w:ind w:firstLine="720"/>
        <w:jc w:val="both"/>
        <w:rPr>
          <w:color w:val="000000"/>
          <w:sz w:val="28"/>
          <w:szCs w:val="28"/>
        </w:rPr>
      </w:pPr>
      <w:r>
        <w:rPr>
          <w:color w:val="000000"/>
          <w:sz w:val="28"/>
          <w:szCs w:val="28"/>
        </w:rPr>
        <w:t>Không tính tiền chậm nộp phạt vi phạm hành chính trong các trường hợp sau: Trong thời hạn được hoãn thi hành quyết định xử phạt vi phạm hành chính; Trong thời gian xem xét, quyết định giảm, miễn phần còn lại hoặc cho phép nộp tiền phạt nhiều lần.</w:t>
      </w:r>
    </w:p>
    <w:p w:rsidR="00FA248F" w:rsidRDefault="00FA248F" w:rsidP="00FA248F">
      <w:pPr>
        <w:shd w:val="clear" w:color="auto" w:fill="FFFFFF"/>
        <w:spacing w:line="20" w:lineRule="atLeast"/>
        <w:ind w:firstLine="720"/>
        <w:jc w:val="both"/>
        <w:rPr>
          <w:color w:val="000000"/>
          <w:sz w:val="28"/>
          <w:szCs w:val="28"/>
        </w:rPr>
      </w:pPr>
      <w:r>
        <w:rPr>
          <w:color w:val="000000"/>
          <w:sz w:val="28"/>
          <w:szCs w:val="28"/>
        </w:rPr>
        <w:t>Cơ quan thu tiền phạt quy định tại khoản 1 Điều 3 Thông tư này căn cứ vào quyết định xử phạt, số ngày chậm nộp phạt để tính và thu tiền chậm nộp phạt khi cá nhân, tổ chức nộp tiền phạt vi phạm hành chính. Trường hợp cá nhân, tổ chức nộp tiền phạt bằng hình thức chuyển khoản quy định tại khoản 2 Điều 3 Thông tư này phải căn cứ vào quyết định xử phạt, số ngày chậm nộp phạt để tính và nộp tiền chậm nộp phạt.</w:t>
      </w:r>
    </w:p>
    <w:p w:rsidR="00FA248F" w:rsidRDefault="00FA248F" w:rsidP="00FA248F">
      <w:pPr>
        <w:shd w:val="clear" w:color="auto" w:fill="FFFFFF"/>
        <w:spacing w:line="20" w:lineRule="atLeast"/>
        <w:ind w:firstLine="720"/>
        <w:jc w:val="both"/>
        <w:rPr>
          <w:i/>
          <w:iCs/>
          <w:color w:val="000000"/>
          <w:sz w:val="28"/>
          <w:szCs w:val="28"/>
        </w:rPr>
      </w:pPr>
      <w:r>
        <w:rPr>
          <w:i/>
          <w:iCs/>
          <w:color w:val="000000"/>
          <w:sz w:val="28"/>
          <w:szCs w:val="28"/>
        </w:rPr>
        <w:t>Cách xác định thời gian để tính tiền chậm nộp phạt như sau:</w:t>
      </w:r>
    </w:p>
    <w:p w:rsidR="007764E0" w:rsidRDefault="007764E0" w:rsidP="00FA248F">
      <w:pPr>
        <w:shd w:val="clear" w:color="auto" w:fill="FFFFFF"/>
        <w:spacing w:line="20" w:lineRule="atLeast"/>
        <w:ind w:firstLine="720"/>
        <w:jc w:val="both"/>
        <w:rPr>
          <w:i/>
          <w:iCs/>
          <w:color w:val="000000"/>
          <w:sz w:val="28"/>
          <w:szCs w:val="28"/>
        </w:rPr>
      </w:pPr>
    </w:p>
    <w:p w:rsidR="007764E0" w:rsidRDefault="007764E0" w:rsidP="007764E0">
      <w:pPr>
        <w:shd w:val="clear" w:color="auto" w:fill="FFFFFF"/>
        <w:spacing w:line="20" w:lineRule="atLeast"/>
        <w:ind w:firstLine="720"/>
        <w:jc w:val="both"/>
        <w:rPr>
          <w:color w:val="000000"/>
          <w:sz w:val="28"/>
          <w:szCs w:val="28"/>
        </w:rPr>
      </w:pPr>
      <w:r>
        <w:rPr>
          <w:color w:val="000000"/>
          <w:sz w:val="28"/>
          <w:szCs w:val="28"/>
        </w:rPr>
        <w:lastRenderedPageBreak/>
        <w:t>1- Trường hợp quyết định xử phạt được giao trực tiếp thì ngày tính tiền chậm nộp phạt là sau 10 ngày (bao gồm cả ngày lễ, ngày nghỉ) hoặc sau thời hạn thi hành ghi trong quyết định xử phạt vi phạm hành chính kể từ ngày nhận quyết định xử phạt theo quy định tại Luật Xử lý vi phạm hành chính;</w:t>
      </w:r>
    </w:p>
    <w:p w:rsidR="007764E0" w:rsidRDefault="007764E0" w:rsidP="007764E0">
      <w:pPr>
        <w:shd w:val="clear" w:color="auto" w:fill="FFFFFF"/>
        <w:spacing w:line="20" w:lineRule="atLeast"/>
        <w:ind w:firstLine="720"/>
        <w:jc w:val="both"/>
        <w:rPr>
          <w:color w:val="000000"/>
          <w:sz w:val="28"/>
          <w:szCs w:val="28"/>
        </w:rPr>
      </w:pPr>
      <w:r>
        <w:rPr>
          <w:color w:val="000000"/>
          <w:sz w:val="28"/>
          <w:szCs w:val="28"/>
        </w:rPr>
        <w:t>2- Trường hợp quyết định xử phạt được gửi qua bưu điện bằng hình thức bảo đảm thì ngày tính tiền chậm nộp phạt là sau 10 ngày (bao gồm cả ngày lễ, ngày nghỉ) hoặc sau thời hạn thi hành ghi trong quyết định xử phạt vi phạm hành chính kể từ ngày quyết định xử phạt được phát hợp lệ theo quy định tại khoản 3 Điều 11 Luật Bưu chính ngày 17 tháng 6 năm 2010;</w:t>
      </w:r>
    </w:p>
    <w:p w:rsidR="007764E0" w:rsidRDefault="007764E0" w:rsidP="007764E0">
      <w:pPr>
        <w:shd w:val="clear" w:color="auto" w:fill="FFFFFF"/>
        <w:spacing w:line="20" w:lineRule="atLeast"/>
        <w:ind w:firstLine="720"/>
        <w:jc w:val="both"/>
        <w:rPr>
          <w:color w:val="000000"/>
          <w:sz w:val="28"/>
          <w:szCs w:val="28"/>
        </w:rPr>
      </w:pPr>
      <w:r>
        <w:rPr>
          <w:color w:val="000000"/>
          <w:sz w:val="28"/>
          <w:szCs w:val="28"/>
        </w:rPr>
        <w:t>3- Trường hợp cá nhân, tổ chức bị xử phạt không có xác nhận ngày nhận quyết định xử phạt, không xuất trình được ngày quyết định xử phạt được phát hợp lệ theo quy định tại điểm a, điểm b khoản này, nhưng không thuộc trường hợp cố tình không nhận quyết định xử phạt theo quy định tại điểm d khoản này thì ngày tính tiền nộp chậm thi hành quyết định xử phạt tính từ ngày ra quyết định xử phạt là sau 12 ngày (bao gồm cả ngày lễ, ngày nghỉ) đối với trường hợp quyết định xử phạt ghi thời hạn là 10 ngày kể từ ngày ra quyết định xử phạt hoặc từ ngày thứ ba sau thời hạn thi hành ghi trong quyết định xử phạt đối với trường hợp quyết định xử phạt ghi thời hạn nhiều hơn 10 ngày kể từ ngày ra quyết định xử phạt (bao gồm cả ngày lễ, ngày nghỉ). Trường hợp người nộp phạt chứng minh được ngày nhận quyết định xử phạt và việc chứng minh là có cơ sở thì cơ quan thu tiền phạt quy định tại khoản 1 Điều 3 Thông tư này tính tiền nộp chậm thi hành quyết định xử phạt sau 10 ngày hoặc sau thời hạn thi hành ghi trong quyết định xử phạt kể từ ngày nhận được quyết định xử phạt mà người nộp phạt đã chứng minh;</w:t>
      </w:r>
    </w:p>
    <w:p w:rsidR="007764E0" w:rsidRDefault="007764E0" w:rsidP="007764E0">
      <w:pPr>
        <w:shd w:val="clear" w:color="auto" w:fill="FFFFFF"/>
        <w:spacing w:line="20" w:lineRule="atLeast"/>
        <w:ind w:firstLine="720"/>
        <w:jc w:val="both"/>
        <w:rPr>
          <w:color w:val="000000"/>
          <w:sz w:val="28"/>
          <w:szCs w:val="28"/>
        </w:rPr>
      </w:pPr>
      <w:r>
        <w:rPr>
          <w:color w:val="000000"/>
          <w:sz w:val="28"/>
          <w:szCs w:val="28"/>
        </w:rPr>
        <w:t>4- Đối với các trường hợp cố tình không nhận quyết định xử phạt thì thực hiện theo quy định tại Điều 70 Luật Xử lý vi phạm hành chính. Cơ quan của người có thẩm quyền ra quyết định xử phạt, cơ quan có thẩm quyền cưỡng chế thông báo cho Kho bạc Nhà nước nơi thu tiền phạt về thời điểm được coi là giao quyết định xử phạt để Kho bạc Nhà nước tính tiền chậm nộp phạt.</w:t>
      </w:r>
    </w:p>
    <w:p w:rsidR="007764E0" w:rsidRDefault="007764E0" w:rsidP="007764E0">
      <w:pPr>
        <w:shd w:val="clear" w:color="auto" w:fill="FFFFFF"/>
        <w:spacing w:line="20" w:lineRule="atLeast"/>
        <w:ind w:firstLine="720"/>
        <w:rPr>
          <w:color w:val="000000"/>
          <w:sz w:val="28"/>
          <w:szCs w:val="28"/>
        </w:rPr>
      </w:pPr>
      <w:r>
        <w:rPr>
          <w:color w:val="000000"/>
          <w:sz w:val="28"/>
          <w:szCs w:val="28"/>
        </w:rPr>
        <w:t>5- Trường hợp cá nhân, tổ chức bị xử phạt cố tình không nộp tiền chậm nộp phạt, thì cơ quan có thẩm quyền thu tiền phạt quy định tại khoản 1 Điều 3 Thông tư này thu tiền nộp phạt vi phạm hành chính trên quyết định xử phạt; đồng thời, vẫn tính tiền chậm nộp phạt và ghi rõ trên chứng từ thu, nộp tiền phạt số tiền chậm nộp tính đến trước ngày cá nhân, tổ chức vi phạm hành chính nộp tiền.</w:t>
      </w:r>
      <w:r>
        <w:rPr>
          <w:color w:val="000000"/>
          <w:sz w:val="28"/>
          <w:szCs w:val="28"/>
        </w:rPr>
        <w:br/>
        <w:t xml:space="preserve">            Cơ quan có thẩm quyền thu phạt quy định tại khoản 1 Điều 3 Thông tư này sử dụng biên lai thu tiền phạt không in sẵn mệnh giá, biên lai thu tiền phạt lập và in từ Chương trình ứng dụng thu ngân sách nhà nước hoặc chứng từ khác theo quy định của pháp luật để thu tiền chậm nộp phạt. Tiền chậm nộp phạt được nộp vào ngân sách nhà nước theo quy định tại khoản 5 Điều 4 Thông tư này. Số tiền chậm nộp phạt thực hiện hạch toán theo mục lục ngân sách nhà nước.</w:t>
      </w:r>
      <w:r>
        <w:rPr>
          <w:color w:val="000000"/>
          <w:sz w:val="28"/>
          <w:szCs w:val="28"/>
        </w:rPr>
        <w:br/>
      </w:r>
    </w:p>
    <w:p w:rsidR="007764E0" w:rsidRDefault="007764E0" w:rsidP="00FA248F">
      <w:pPr>
        <w:shd w:val="clear" w:color="auto" w:fill="FFFFFF"/>
        <w:spacing w:line="20" w:lineRule="atLeast"/>
        <w:ind w:firstLine="720"/>
        <w:jc w:val="both"/>
        <w:rPr>
          <w:i/>
          <w:iCs/>
          <w:color w:val="000000"/>
          <w:sz w:val="28"/>
          <w:szCs w:val="28"/>
        </w:rPr>
      </w:pPr>
    </w:p>
    <w:p w:rsidR="00EE0C3D" w:rsidRDefault="00EE0C3D">
      <w:bookmarkStart w:id="0" w:name="_GoBack"/>
      <w:bookmarkEnd w:id="0"/>
    </w:p>
    <w:sectPr w:rsidR="00EE0C3D" w:rsidSect="00FA248F">
      <w:pgSz w:w="11907" w:h="16840" w:code="9"/>
      <w:pgMar w:top="1134" w:right="96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48F"/>
    <w:rsid w:val="00365CB1"/>
    <w:rsid w:val="007764E0"/>
    <w:rsid w:val="008E5E36"/>
    <w:rsid w:val="00D13174"/>
    <w:rsid w:val="00EE0C3D"/>
    <w:rsid w:val="00FA2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48F"/>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FA24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48F"/>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FA24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2A5DC8-CEF7-4D52-BCEC-5EE87DB66A65}"/>
</file>

<file path=customXml/itemProps2.xml><?xml version="1.0" encoding="utf-8"?>
<ds:datastoreItem xmlns:ds="http://schemas.openxmlformats.org/officeDocument/2006/customXml" ds:itemID="{D858EC75-1DFA-4B7A-990A-60FF79B42BAB}"/>
</file>

<file path=customXml/itemProps3.xml><?xml version="1.0" encoding="utf-8"?>
<ds:datastoreItem xmlns:ds="http://schemas.openxmlformats.org/officeDocument/2006/customXml" ds:itemID="{655FD08B-0313-402F-A068-E6C16DFBB195}"/>
</file>

<file path=docProps/app.xml><?xml version="1.0" encoding="utf-8"?>
<Properties xmlns="http://schemas.openxmlformats.org/officeDocument/2006/extended-properties" xmlns:vt="http://schemas.openxmlformats.org/officeDocument/2006/docPropsVTypes">
  <Template>Normal</Template>
  <TotalTime>4</TotalTime>
  <Pages>3</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HoangLan</cp:lastModifiedBy>
  <cp:revision>3</cp:revision>
  <dcterms:created xsi:type="dcterms:W3CDTF">2023-07-04T08:17:00Z</dcterms:created>
  <dcterms:modified xsi:type="dcterms:W3CDTF">2023-07-05T01:37:00Z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83100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